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E4268" w14:textId="77777777" w:rsidR="00AC36DE" w:rsidRPr="00DE6192" w:rsidRDefault="00AC36DE" w:rsidP="00AC36DE">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36CA3705" wp14:editId="555D650D">
            <wp:simplePos x="0" y="0"/>
            <wp:positionH relativeFrom="column">
              <wp:posOffset>4256405</wp:posOffset>
            </wp:positionH>
            <wp:positionV relativeFrom="page">
              <wp:posOffset>948690</wp:posOffset>
            </wp:positionV>
            <wp:extent cx="1085850" cy="781050"/>
            <wp:effectExtent l="152400" t="133350" r="152400" b="190500"/>
            <wp:wrapNone/>
            <wp:docPr id="229" name="Picture 22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20A65820" w14:textId="77777777" w:rsidR="00AC36DE" w:rsidRPr="00DE6192" w:rsidRDefault="00AC36DE" w:rsidP="00AC36DE">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288F98A2" w14:textId="77777777" w:rsidR="00AC36DE" w:rsidRPr="00DE6192" w:rsidRDefault="00AC36DE" w:rsidP="00AC36DE">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27DF483F" w14:textId="77777777" w:rsidR="00AC36DE" w:rsidRPr="00D00668" w:rsidRDefault="00AC36DE" w:rsidP="00AC36DE">
      <w:pPr>
        <w:spacing w:after="0"/>
        <w:rPr>
          <w:rFonts w:ascii="Arial" w:hAnsi="Arial" w:cs="Arial"/>
          <w:sz w:val="24"/>
          <w:szCs w:val="28"/>
        </w:rPr>
      </w:pP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p>
    <w:p w14:paraId="3BE35C5C" w14:textId="77777777" w:rsidR="00AC36DE" w:rsidRPr="00D00668" w:rsidRDefault="00AC36DE" w:rsidP="00AC36DE">
      <w:pPr>
        <w:spacing w:after="0"/>
        <w:rPr>
          <w:rFonts w:ascii="Arial" w:hAnsi="Arial" w:cs="Arial"/>
          <w:b/>
          <w:sz w:val="24"/>
          <w:szCs w:val="28"/>
        </w:rPr>
      </w:pP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r w:rsidRPr="00D00668">
        <w:rPr>
          <w:rFonts w:ascii="Arial" w:hAnsi="Arial" w:cs="Arial"/>
          <w:sz w:val="24"/>
          <w:szCs w:val="28"/>
        </w:rPr>
        <w:tab/>
      </w:r>
    </w:p>
    <w:p w14:paraId="1C5B11D9" w14:textId="77777777" w:rsidR="00AC36DE" w:rsidRDefault="00AC36DE" w:rsidP="00AC36DE">
      <w:pPr>
        <w:spacing w:after="0"/>
        <w:rPr>
          <w:rFonts w:ascii="Arial" w:hAnsi="Arial" w:cs="Arial"/>
          <w:b/>
          <w:szCs w:val="28"/>
          <w:u w:val="single"/>
        </w:rPr>
      </w:pPr>
      <w:r>
        <w:rPr>
          <w:rFonts w:ascii="Arial" w:hAnsi="Arial" w:cs="Arial"/>
          <w:b/>
          <w:szCs w:val="28"/>
        </w:rPr>
        <w:t xml:space="preserve">7. </w:t>
      </w:r>
      <w:r>
        <w:rPr>
          <w:rFonts w:ascii="Arial" w:hAnsi="Arial" w:cs="Arial"/>
          <w:b/>
          <w:szCs w:val="28"/>
        </w:rPr>
        <w:tab/>
      </w:r>
      <w:r w:rsidRPr="00571885">
        <w:rPr>
          <w:rFonts w:ascii="Arial" w:hAnsi="Arial" w:cs="Arial"/>
          <w:b/>
          <w:szCs w:val="28"/>
          <w:u w:val="single"/>
        </w:rPr>
        <w:t>THE FIRST LORD’S SUPPER</w:t>
      </w:r>
      <w:r w:rsidRPr="00571885">
        <w:rPr>
          <w:rFonts w:ascii="Arial" w:hAnsi="Arial" w:cs="Arial"/>
          <w:b/>
          <w:szCs w:val="28"/>
          <w:u w:val="single"/>
        </w:rPr>
        <w:tab/>
      </w:r>
      <w:r w:rsidRPr="00571885">
        <w:rPr>
          <w:rFonts w:ascii="Arial" w:hAnsi="Arial" w:cs="Arial"/>
          <w:b/>
          <w:szCs w:val="28"/>
          <w:u w:val="single"/>
        </w:rPr>
        <w:tab/>
        <w:t xml:space="preserve">       </w:t>
      </w:r>
      <w:r>
        <w:rPr>
          <w:rFonts w:ascii="Arial" w:hAnsi="Arial" w:cs="Arial"/>
          <w:b/>
          <w:szCs w:val="28"/>
          <w:u w:val="single"/>
        </w:rPr>
        <w:t xml:space="preserve">          </w:t>
      </w:r>
      <w:r w:rsidRPr="00571885">
        <w:rPr>
          <w:rFonts w:ascii="Arial" w:hAnsi="Arial" w:cs="Arial"/>
          <w:b/>
          <w:szCs w:val="28"/>
          <w:u w:val="single"/>
        </w:rPr>
        <w:t>Luke 22:15-20</w:t>
      </w:r>
    </w:p>
    <w:p w14:paraId="6CC87A83" w14:textId="77777777" w:rsidR="00AC36DE" w:rsidRPr="00571885" w:rsidRDefault="00AC36DE" w:rsidP="00AC36DE">
      <w:pPr>
        <w:spacing w:after="0"/>
        <w:rPr>
          <w:rFonts w:ascii="Arial" w:hAnsi="Arial" w:cs="Arial"/>
          <w:b/>
          <w:szCs w:val="28"/>
          <w:u w:val="single"/>
        </w:rPr>
      </w:pPr>
    </w:p>
    <w:p w14:paraId="6210D4C5" w14:textId="77777777" w:rsidR="00AC36DE" w:rsidRDefault="00AC36DE" w:rsidP="00AC36DE">
      <w:pPr>
        <w:spacing w:after="0"/>
        <w:rPr>
          <w:rFonts w:ascii="Arial" w:hAnsi="Arial" w:cs="Arial"/>
          <w:i/>
          <w:sz w:val="24"/>
          <w:szCs w:val="24"/>
        </w:rPr>
      </w:pPr>
      <w:r w:rsidRPr="0033713F">
        <w:rPr>
          <w:rFonts w:ascii="Arial" w:hAnsi="Arial" w:cs="Arial"/>
          <w:b/>
          <w:sz w:val="24"/>
          <w:szCs w:val="24"/>
          <w:u w:val="single"/>
        </w:rPr>
        <w:t>Key Verse/s</w:t>
      </w:r>
      <w:r w:rsidRPr="009F332F">
        <w:rPr>
          <w:rFonts w:ascii="Arial" w:hAnsi="Arial" w:cs="Arial"/>
          <w:i/>
          <w:sz w:val="24"/>
          <w:szCs w:val="24"/>
        </w:rPr>
        <w:t xml:space="preserve">  Luke 22:19b </w:t>
      </w:r>
      <w:r>
        <w:rPr>
          <w:rFonts w:ascii="Arial" w:hAnsi="Arial" w:cs="Arial"/>
          <w:i/>
          <w:sz w:val="24"/>
          <w:szCs w:val="24"/>
        </w:rPr>
        <w:t>ESV</w:t>
      </w:r>
      <w:r w:rsidRPr="009F332F">
        <w:rPr>
          <w:rFonts w:ascii="Arial" w:hAnsi="Arial" w:cs="Arial"/>
          <w:i/>
          <w:sz w:val="24"/>
          <w:szCs w:val="24"/>
        </w:rPr>
        <w:t xml:space="preserve">  “This is my body</w:t>
      </w:r>
      <w:r>
        <w:rPr>
          <w:rFonts w:ascii="Arial" w:hAnsi="Arial" w:cs="Arial"/>
          <w:i/>
          <w:sz w:val="24"/>
          <w:szCs w:val="24"/>
        </w:rPr>
        <w:t>,</w:t>
      </w:r>
      <w:r w:rsidRPr="009F332F">
        <w:rPr>
          <w:rFonts w:ascii="Arial" w:hAnsi="Arial" w:cs="Arial"/>
          <w:i/>
          <w:sz w:val="24"/>
          <w:szCs w:val="24"/>
        </w:rPr>
        <w:t xml:space="preserve"> which is given for yo</w:t>
      </w:r>
      <w:r>
        <w:rPr>
          <w:rFonts w:ascii="Arial" w:hAnsi="Arial" w:cs="Arial"/>
          <w:i/>
          <w:sz w:val="24"/>
          <w:szCs w:val="24"/>
        </w:rPr>
        <w:t>u…”</w:t>
      </w:r>
    </w:p>
    <w:p w14:paraId="3ABF7A09" w14:textId="77777777" w:rsidR="00AC36DE" w:rsidRPr="009F332F" w:rsidRDefault="00AC36DE" w:rsidP="00AC36DE">
      <w:pPr>
        <w:spacing w:after="0"/>
        <w:rPr>
          <w:rFonts w:ascii="Arial" w:hAnsi="Arial" w:cs="Arial"/>
          <w:i/>
          <w:sz w:val="24"/>
          <w:szCs w:val="24"/>
        </w:rPr>
      </w:pPr>
    </w:p>
    <w:p w14:paraId="5EB97765" w14:textId="77777777" w:rsidR="00AC36DE" w:rsidRDefault="00AC36DE" w:rsidP="00AC36DE">
      <w:pPr>
        <w:spacing w:after="0"/>
        <w:rPr>
          <w:rFonts w:ascii="Arial" w:hAnsi="Arial" w:cs="Arial"/>
          <w:sz w:val="24"/>
          <w:szCs w:val="24"/>
        </w:rPr>
      </w:pPr>
      <w:r w:rsidRPr="0033713F">
        <w:rPr>
          <w:rFonts w:ascii="Arial" w:hAnsi="Arial" w:cs="Arial"/>
          <w:b/>
          <w:sz w:val="24"/>
          <w:szCs w:val="24"/>
          <w:u w:val="single"/>
        </w:rPr>
        <w:t>Why Is This Key Passage Important</w:t>
      </w:r>
      <w:r>
        <w:rPr>
          <w:rFonts w:ascii="Arial" w:hAnsi="Arial" w:cs="Arial"/>
          <w:b/>
          <w:sz w:val="24"/>
          <w:szCs w:val="24"/>
          <w:u w:val="single"/>
        </w:rPr>
        <w:t>?</w:t>
      </w:r>
      <w:r>
        <w:rPr>
          <w:rFonts w:ascii="Arial" w:hAnsi="Arial" w:cs="Arial"/>
          <w:b/>
          <w:sz w:val="24"/>
          <w:szCs w:val="24"/>
        </w:rPr>
        <w:t xml:space="preserve"> </w:t>
      </w:r>
      <w:r w:rsidRPr="009F332F">
        <w:rPr>
          <w:rFonts w:ascii="Arial" w:hAnsi="Arial" w:cs="Arial"/>
          <w:sz w:val="24"/>
          <w:szCs w:val="24"/>
        </w:rPr>
        <w:t xml:space="preserve">The First Lord’s Supper reminds </w:t>
      </w:r>
      <w:r>
        <w:rPr>
          <w:rFonts w:ascii="Arial" w:hAnsi="Arial" w:cs="Arial"/>
          <w:sz w:val="24"/>
          <w:szCs w:val="24"/>
        </w:rPr>
        <w:t xml:space="preserve">us </w:t>
      </w:r>
      <w:r w:rsidRPr="009F332F">
        <w:rPr>
          <w:rFonts w:ascii="Arial" w:hAnsi="Arial" w:cs="Arial"/>
          <w:sz w:val="24"/>
          <w:szCs w:val="24"/>
        </w:rPr>
        <w:t>of what Jesus did for us when He gave up His life (His body represented by the bread) and His life blood (represented by the juice). It also causes people to ask questions when they see the Lord’s Supper, and they learn what Jesus did for all people.</w:t>
      </w:r>
    </w:p>
    <w:p w14:paraId="0C264C84" w14:textId="77777777" w:rsidR="00AC36DE" w:rsidRPr="009F332F" w:rsidRDefault="00AC36DE" w:rsidP="00AC36DE">
      <w:pPr>
        <w:spacing w:after="0"/>
        <w:rPr>
          <w:rFonts w:ascii="Arial" w:hAnsi="Arial" w:cs="Arial"/>
          <w:i/>
          <w:sz w:val="24"/>
          <w:szCs w:val="24"/>
        </w:rPr>
      </w:pPr>
    </w:p>
    <w:p w14:paraId="345209DE" w14:textId="77777777" w:rsidR="00AC36DE" w:rsidRDefault="00AC36DE" w:rsidP="00AC36DE">
      <w:pPr>
        <w:pStyle w:val="NoSpacing"/>
        <w:rPr>
          <w:rFonts w:ascii="Arial" w:hAnsi="Arial" w:cs="Arial"/>
          <w:sz w:val="24"/>
          <w:szCs w:val="24"/>
        </w:rPr>
      </w:pPr>
      <w:r w:rsidRPr="007F4CB8">
        <w:rPr>
          <w:rFonts w:ascii="Arial" w:hAnsi="Arial" w:cs="Arial"/>
          <w:b/>
          <w:sz w:val="24"/>
          <w:szCs w:val="24"/>
          <w:u w:val="single"/>
        </w:rPr>
        <w:t>Lesson</w:t>
      </w:r>
      <w:r>
        <w:rPr>
          <w:rFonts w:ascii="Arial" w:hAnsi="Arial" w:cs="Arial"/>
          <w:b/>
          <w:sz w:val="24"/>
          <w:szCs w:val="24"/>
        </w:rPr>
        <w:t xml:space="preserve"> </w:t>
      </w:r>
      <w:r w:rsidRPr="009F332F">
        <w:rPr>
          <w:rFonts w:ascii="Arial" w:hAnsi="Arial" w:cs="Arial"/>
          <w:sz w:val="24"/>
          <w:szCs w:val="24"/>
        </w:rPr>
        <w:t>“The Lord’s Supper” has other names – it is also known as “The Last Supper</w:t>
      </w:r>
      <w:r>
        <w:rPr>
          <w:rFonts w:ascii="Arial" w:hAnsi="Arial" w:cs="Arial"/>
          <w:sz w:val="24"/>
          <w:szCs w:val="24"/>
        </w:rPr>
        <w:t>.</w:t>
      </w:r>
      <w:r w:rsidRPr="009F332F">
        <w:rPr>
          <w:rFonts w:ascii="Arial" w:hAnsi="Arial" w:cs="Arial"/>
          <w:sz w:val="24"/>
          <w:szCs w:val="24"/>
        </w:rPr>
        <w:t>” Methodist</w:t>
      </w:r>
      <w:r>
        <w:rPr>
          <w:rFonts w:ascii="Arial" w:hAnsi="Arial" w:cs="Arial"/>
          <w:sz w:val="24"/>
          <w:szCs w:val="24"/>
        </w:rPr>
        <w:t>s</w:t>
      </w:r>
      <w:r w:rsidRPr="009F332F">
        <w:rPr>
          <w:rFonts w:ascii="Arial" w:hAnsi="Arial" w:cs="Arial"/>
          <w:sz w:val="24"/>
          <w:szCs w:val="24"/>
        </w:rPr>
        <w:t xml:space="preserve"> and Presbyterians may call it “Communion</w:t>
      </w:r>
      <w:r>
        <w:rPr>
          <w:rFonts w:ascii="Arial" w:hAnsi="Arial" w:cs="Arial"/>
          <w:sz w:val="24"/>
          <w:szCs w:val="24"/>
        </w:rPr>
        <w:t>.</w:t>
      </w:r>
      <w:r w:rsidRPr="009F332F">
        <w:rPr>
          <w:rFonts w:ascii="Arial" w:hAnsi="Arial" w:cs="Arial"/>
          <w:sz w:val="24"/>
          <w:szCs w:val="24"/>
        </w:rPr>
        <w:t>” Catholics use “Eucharist” and “Communion</w:t>
      </w:r>
      <w:r>
        <w:rPr>
          <w:rFonts w:ascii="Arial" w:hAnsi="Arial" w:cs="Arial"/>
          <w:sz w:val="24"/>
          <w:szCs w:val="24"/>
        </w:rPr>
        <w:t>.</w:t>
      </w:r>
      <w:r w:rsidRPr="009F332F">
        <w:rPr>
          <w:rFonts w:ascii="Arial" w:hAnsi="Arial" w:cs="Arial"/>
          <w:sz w:val="24"/>
          <w:szCs w:val="24"/>
        </w:rPr>
        <w:t>” When talking to friends of other religious faiths</w:t>
      </w:r>
      <w:r>
        <w:rPr>
          <w:rFonts w:ascii="Arial" w:hAnsi="Arial" w:cs="Arial"/>
          <w:sz w:val="24"/>
          <w:szCs w:val="24"/>
        </w:rPr>
        <w:t>,</w:t>
      </w:r>
      <w:r w:rsidRPr="009F332F">
        <w:rPr>
          <w:rFonts w:ascii="Arial" w:hAnsi="Arial" w:cs="Arial"/>
          <w:sz w:val="24"/>
          <w:szCs w:val="24"/>
        </w:rPr>
        <w:t xml:space="preserve"> it is good to know that we are talking about the same event</w:t>
      </w:r>
      <w:r>
        <w:rPr>
          <w:rFonts w:ascii="Arial" w:hAnsi="Arial" w:cs="Arial"/>
          <w:sz w:val="24"/>
          <w:szCs w:val="24"/>
        </w:rPr>
        <w:t xml:space="preserve">, </w:t>
      </w:r>
      <w:r w:rsidRPr="009F332F">
        <w:rPr>
          <w:rFonts w:ascii="Arial" w:hAnsi="Arial" w:cs="Arial"/>
          <w:sz w:val="24"/>
          <w:szCs w:val="24"/>
        </w:rPr>
        <w:t>but by different names.</w:t>
      </w:r>
    </w:p>
    <w:p w14:paraId="4A51600A" w14:textId="77777777" w:rsidR="00AC36DE" w:rsidRPr="009F332F" w:rsidRDefault="00AC36DE" w:rsidP="00AC36DE">
      <w:pPr>
        <w:pStyle w:val="NoSpacing"/>
        <w:rPr>
          <w:rFonts w:ascii="Arial" w:hAnsi="Arial" w:cs="Arial"/>
          <w:i/>
          <w:sz w:val="24"/>
          <w:szCs w:val="24"/>
        </w:rPr>
      </w:pPr>
    </w:p>
    <w:p w14:paraId="2EDE4A08" w14:textId="77777777" w:rsidR="00AC36DE" w:rsidRDefault="00AC36DE" w:rsidP="00AC36DE">
      <w:pPr>
        <w:spacing w:after="0"/>
        <w:rPr>
          <w:rFonts w:ascii="Arial" w:hAnsi="Arial" w:cs="Arial"/>
          <w:sz w:val="24"/>
          <w:szCs w:val="24"/>
        </w:rPr>
      </w:pPr>
      <w:r w:rsidRPr="009F332F">
        <w:rPr>
          <w:rFonts w:ascii="Arial" w:hAnsi="Arial" w:cs="Arial"/>
          <w:sz w:val="24"/>
          <w:szCs w:val="24"/>
        </w:rPr>
        <w:t xml:space="preserve">Why did Jesus do the things he did in this </w:t>
      </w:r>
      <w:r>
        <w:rPr>
          <w:rFonts w:ascii="Arial" w:hAnsi="Arial" w:cs="Arial"/>
          <w:sz w:val="24"/>
          <w:szCs w:val="24"/>
        </w:rPr>
        <w:t>K</w:t>
      </w:r>
      <w:r w:rsidRPr="009F332F">
        <w:rPr>
          <w:rFonts w:ascii="Arial" w:hAnsi="Arial" w:cs="Arial"/>
          <w:sz w:val="24"/>
          <w:szCs w:val="24"/>
        </w:rPr>
        <w:t xml:space="preserve">ey </w:t>
      </w:r>
      <w:r>
        <w:rPr>
          <w:rFonts w:ascii="Arial" w:hAnsi="Arial" w:cs="Arial"/>
          <w:sz w:val="24"/>
          <w:szCs w:val="24"/>
        </w:rPr>
        <w:t>P</w:t>
      </w:r>
      <w:r w:rsidRPr="009F332F">
        <w:rPr>
          <w:rFonts w:ascii="Arial" w:hAnsi="Arial" w:cs="Arial"/>
          <w:sz w:val="24"/>
          <w:szCs w:val="24"/>
        </w:rPr>
        <w:t>assage? Why unleavened bread? Why red wine? You will find the reason</w:t>
      </w:r>
      <w:r>
        <w:rPr>
          <w:rFonts w:ascii="Arial" w:hAnsi="Arial" w:cs="Arial"/>
          <w:sz w:val="24"/>
          <w:szCs w:val="24"/>
        </w:rPr>
        <w:t>s</w:t>
      </w:r>
      <w:r w:rsidRPr="009F332F">
        <w:rPr>
          <w:rFonts w:ascii="Arial" w:hAnsi="Arial" w:cs="Arial"/>
          <w:sz w:val="24"/>
          <w:szCs w:val="24"/>
        </w:rPr>
        <w:t xml:space="preserve"> by reading the story of “The Passover” in Exodus 12:1-13</w:t>
      </w:r>
      <w:r>
        <w:rPr>
          <w:rFonts w:ascii="Arial" w:hAnsi="Arial" w:cs="Arial"/>
          <w:sz w:val="24"/>
          <w:szCs w:val="24"/>
        </w:rPr>
        <w:t>,</w:t>
      </w:r>
      <w:r w:rsidRPr="009F332F">
        <w:rPr>
          <w:rFonts w:ascii="Arial" w:hAnsi="Arial" w:cs="Arial"/>
          <w:sz w:val="24"/>
          <w:szCs w:val="24"/>
        </w:rPr>
        <w:t>16 and mak</w:t>
      </w:r>
      <w:r>
        <w:rPr>
          <w:rFonts w:ascii="Arial" w:hAnsi="Arial" w:cs="Arial"/>
          <w:sz w:val="24"/>
          <w:szCs w:val="24"/>
        </w:rPr>
        <w:t>ing</w:t>
      </w:r>
      <w:r w:rsidRPr="009F332F">
        <w:rPr>
          <w:rFonts w:ascii="Arial" w:hAnsi="Arial" w:cs="Arial"/>
          <w:sz w:val="24"/>
          <w:szCs w:val="24"/>
        </w:rPr>
        <w:t xml:space="preserve"> the comparisons. In “The Passover” the Israelites took the blood of a lamb and painted it over the doorpost</w:t>
      </w:r>
      <w:r>
        <w:rPr>
          <w:rFonts w:ascii="Arial" w:hAnsi="Arial" w:cs="Arial"/>
          <w:sz w:val="24"/>
          <w:szCs w:val="24"/>
        </w:rPr>
        <w:t>s</w:t>
      </w:r>
      <w:r w:rsidRPr="009F332F">
        <w:rPr>
          <w:rFonts w:ascii="Arial" w:hAnsi="Arial" w:cs="Arial"/>
          <w:sz w:val="24"/>
          <w:szCs w:val="24"/>
        </w:rPr>
        <w:t xml:space="preserve"> of their house</w:t>
      </w:r>
      <w:r>
        <w:rPr>
          <w:rFonts w:ascii="Arial" w:hAnsi="Arial" w:cs="Arial"/>
          <w:sz w:val="24"/>
          <w:szCs w:val="24"/>
        </w:rPr>
        <w:t>s</w:t>
      </w:r>
      <w:r w:rsidRPr="009F332F">
        <w:rPr>
          <w:rFonts w:ascii="Arial" w:hAnsi="Arial" w:cs="Arial"/>
          <w:sz w:val="24"/>
          <w:szCs w:val="24"/>
        </w:rPr>
        <w:t>. When the death angel came by</w:t>
      </w:r>
      <w:r>
        <w:rPr>
          <w:rFonts w:ascii="Arial" w:hAnsi="Arial" w:cs="Arial"/>
          <w:sz w:val="24"/>
          <w:szCs w:val="24"/>
        </w:rPr>
        <w:t>,</w:t>
      </w:r>
      <w:r w:rsidRPr="009F332F">
        <w:rPr>
          <w:rFonts w:ascii="Arial" w:hAnsi="Arial" w:cs="Arial"/>
          <w:sz w:val="24"/>
          <w:szCs w:val="24"/>
        </w:rPr>
        <w:t xml:space="preserve"> he passed over the houses where the blood was, and no one in the house died that night. Jesus’ blood is like the blood of the lamb</w:t>
      </w:r>
      <w:r>
        <w:rPr>
          <w:rFonts w:ascii="Arial" w:hAnsi="Arial" w:cs="Arial"/>
          <w:sz w:val="24"/>
          <w:szCs w:val="24"/>
        </w:rPr>
        <w:t xml:space="preserve">. </w:t>
      </w:r>
      <w:r w:rsidRPr="009F332F">
        <w:rPr>
          <w:rFonts w:ascii="Arial" w:hAnsi="Arial" w:cs="Arial"/>
          <w:sz w:val="24"/>
          <w:szCs w:val="24"/>
        </w:rPr>
        <w:t>His blood also keeps us alive. The sacrifice of His life keeps us alive for eternity.</w:t>
      </w:r>
    </w:p>
    <w:p w14:paraId="20CAEC0D" w14:textId="77777777" w:rsidR="00AC36DE" w:rsidRPr="009F332F" w:rsidRDefault="00AC36DE" w:rsidP="00AC36DE">
      <w:pPr>
        <w:spacing w:after="0"/>
        <w:rPr>
          <w:rFonts w:ascii="Arial" w:hAnsi="Arial" w:cs="Arial"/>
          <w:sz w:val="24"/>
          <w:szCs w:val="24"/>
        </w:rPr>
      </w:pPr>
      <w:r w:rsidRPr="009F332F">
        <w:rPr>
          <w:rFonts w:ascii="Arial" w:hAnsi="Arial" w:cs="Arial"/>
          <w:sz w:val="24"/>
          <w:szCs w:val="24"/>
        </w:rPr>
        <w:t xml:space="preserve">    </w:t>
      </w:r>
    </w:p>
    <w:p w14:paraId="23CE6BB7" w14:textId="77777777" w:rsidR="00AC36DE" w:rsidRDefault="00AC36DE" w:rsidP="00AC36DE">
      <w:pPr>
        <w:pStyle w:val="NoSpacing"/>
        <w:rPr>
          <w:rFonts w:ascii="Arial" w:hAnsi="Arial" w:cs="Arial"/>
          <w:sz w:val="24"/>
          <w:szCs w:val="24"/>
        </w:rPr>
      </w:pPr>
      <w:r w:rsidRPr="009F332F">
        <w:rPr>
          <w:rFonts w:ascii="Arial" w:hAnsi="Arial" w:cs="Arial"/>
          <w:sz w:val="24"/>
          <w:szCs w:val="24"/>
        </w:rPr>
        <w:t>There are some unusual monuments in Alabama and around the nation. There is the monument to the boll weevil in Enterprise, Alabama. That monument is to remind people of an insect that destroyed the cotton crops in the area. Thanks to the boll weevil the farmers changed to peanuts and soon the area became one of the leading peanut producers in the nation.</w:t>
      </w:r>
    </w:p>
    <w:p w14:paraId="41071FC6" w14:textId="77777777" w:rsidR="00AC36DE" w:rsidRPr="009F332F" w:rsidRDefault="00AC36DE" w:rsidP="00AC36DE">
      <w:pPr>
        <w:pStyle w:val="NoSpacing"/>
        <w:rPr>
          <w:rFonts w:ascii="Arial" w:hAnsi="Arial" w:cs="Arial"/>
          <w:sz w:val="24"/>
          <w:szCs w:val="24"/>
        </w:rPr>
      </w:pPr>
    </w:p>
    <w:p w14:paraId="495AD608" w14:textId="77777777" w:rsidR="00AC36DE" w:rsidRDefault="00AC36DE" w:rsidP="00AC36DE">
      <w:pPr>
        <w:pStyle w:val="NoSpacing"/>
        <w:rPr>
          <w:rFonts w:ascii="Arial" w:hAnsi="Arial" w:cs="Arial"/>
          <w:sz w:val="24"/>
          <w:szCs w:val="24"/>
        </w:rPr>
      </w:pPr>
      <w:r w:rsidRPr="009F332F">
        <w:rPr>
          <w:rFonts w:ascii="Arial" w:hAnsi="Arial" w:cs="Arial"/>
          <w:sz w:val="24"/>
          <w:szCs w:val="24"/>
        </w:rPr>
        <w:t xml:space="preserve">There is a monument to the bird dog in Union Springs, Alabama, and </w:t>
      </w:r>
      <w:r>
        <w:rPr>
          <w:rFonts w:ascii="Arial" w:hAnsi="Arial" w:cs="Arial"/>
          <w:sz w:val="24"/>
          <w:szCs w:val="24"/>
        </w:rPr>
        <w:t xml:space="preserve">a </w:t>
      </w:r>
      <w:r w:rsidRPr="009F332F">
        <w:rPr>
          <w:rFonts w:ascii="Arial" w:hAnsi="Arial" w:cs="Arial"/>
          <w:sz w:val="24"/>
          <w:szCs w:val="24"/>
        </w:rPr>
        <w:t>monument to the coon dog in north Alabama.</w:t>
      </w:r>
      <w:r>
        <w:rPr>
          <w:rFonts w:ascii="Arial" w:hAnsi="Arial" w:cs="Arial"/>
          <w:sz w:val="24"/>
          <w:szCs w:val="24"/>
        </w:rPr>
        <w:t xml:space="preserve"> </w:t>
      </w:r>
      <w:r w:rsidRPr="009F332F">
        <w:rPr>
          <w:rFonts w:ascii="Arial" w:hAnsi="Arial" w:cs="Arial"/>
          <w:sz w:val="24"/>
          <w:szCs w:val="24"/>
        </w:rPr>
        <w:t xml:space="preserve">In Sylacauga there is a marble monument to </w:t>
      </w:r>
      <w:r>
        <w:rPr>
          <w:rFonts w:ascii="Arial" w:hAnsi="Arial" w:cs="Arial"/>
          <w:sz w:val="24"/>
          <w:szCs w:val="24"/>
        </w:rPr>
        <w:t xml:space="preserve">the </w:t>
      </w:r>
      <w:r w:rsidRPr="009F332F">
        <w:rPr>
          <w:rFonts w:ascii="Arial" w:hAnsi="Arial" w:cs="Arial"/>
          <w:sz w:val="24"/>
          <w:szCs w:val="24"/>
        </w:rPr>
        <w:t xml:space="preserve"> only meteorite know</w:t>
      </w:r>
      <w:r>
        <w:rPr>
          <w:rFonts w:ascii="Arial" w:hAnsi="Arial" w:cs="Arial"/>
          <w:sz w:val="24"/>
          <w:szCs w:val="24"/>
        </w:rPr>
        <w:t>n</w:t>
      </w:r>
      <w:r w:rsidRPr="009F332F">
        <w:rPr>
          <w:rFonts w:ascii="Arial" w:hAnsi="Arial" w:cs="Arial"/>
          <w:sz w:val="24"/>
          <w:szCs w:val="24"/>
        </w:rPr>
        <w:t xml:space="preserve"> to </w:t>
      </w:r>
      <w:r>
        <w:rPr>
          <w:rFonts w:ascii="Arial" w:hAnsi="Arial" w:cs="Arial"/>
          <w:sz w:val="24"/>
          <w:szCs w:val="24"/>
        </w:rPr>
        <w:t xml:space="preserve">have </w:t>
      </w:r>
      <w:r w:rsidRPr="009F332F">
        <w:rPr>
          <w:rFonts w:ascii="Arial" w:hAnsi="Arial" w:cs="Arial"/>
          <w:sz w:val="24"/>
          <w:szCs w:val="24"/>
        </w:rPr>
        <w:t>hit a person when it landed. In Utah</w:t>
      </w:r>
      <w:r>
        <w:rPr>
          <w:rFonts w:ascii="Arial" w:hAnsi="Arial" w:cs="Arial"/>
          <w:sz w:val="24"/>
          <w:szCs w:val="24"/>
        </w:rPr>
        <w:t>,</w:t>
      </w:r>
      <w:r w:rsidRPr="009F332F">
        <w:rPr>
          <w:rFonts w:ascii="Arial" w:hAnsi="Arial" w:cs="Arial"/>
          <w:sz w:val="24"/>
          <w:szCs w:val="24"/>
        </w:rPr>
        <w:t xml:space="preserve"> there is a monument to the seagull</w:t>
      </w:r>
      <w:r>
        <w:rPr>
          <w:rFonts w:ascii="Arial" w:hAnsi="Arial" w:cs="Arial"/>
          <w:sz w:val="24"/>
          <w:szCs w:val="24"/>
        </w:rPr>
        <w:t xml:space="preserve"> – a</w:t>
      </w:r>
      <w:r w:rsidRPr="009F332F">
        <w:rPr>
          <w:rFonts w:ascii="Arial" w:hAnsi="Arial" w:cs="Arial"/>
          <w:sz w:val="24"/>
          <w:szCs w:val="24"/>
        </w:rPr>
        <w:t xml:space="preserve">n unusual monument for a place that has no ocean. The monument is a reminder of when the gulls came in and ate the </w:t>
      </w:r>
    </w:p>
    <w:p w14:paraId="3CD1C859" w14:textId="77777777" w:rsidR="00AC36DE" w:rsidRDefault="00AC36DE" w:rsidP="00AC36DE">
      <w:pPr>
        <w:pStyle w:val="NoSpacing"/>
        <w:rPr>
          <w:rFonts w:ascii="Arial" w:hAnsi="Arial" w:cs="Arial"/>
          <w:sz w:val="24"/>
          <w:szCs w:val="24"/>
        </w:rPr>
      </w:pPr>
      <w:r w:rsidRPr="009F332F">
        <w:rPr>
          <w:rFonts w:ascii="Arial" w:hAnsi="Arial" w:cs="Arial"/>
          <w:sz w:val="24"/>
          <w:szCs w:val="24"/>
        </w:rPr>
        <w:t>cricket</w:t>
      </w:r>
      <w:r>
        <w:rPr>
          <w:rFonts w:ascii="Arial" w:hAnsi="Arial" w:cs="Arial"/>
          <w:sz w:val="24"/>
          <w:szCs w:val="24"/>
        </w:rPr>
        <w:t>-l</w:t>
      </w:r>
      <w:r w:rsidRPr="009F332F">
        <w:rPr>
          <w:rFonts w:ascii="Arial" w:hAnsi="Arial" w:cs="Arial"/>
          <w:sz w:val="24"/>
          <w:szCs w:val="24"/>
        </w:rPr>
        <w:t xml:space="preserve">ike insects that were destroying the crops. The people felt it was a miracle that the gulls appeared and saved their crops from the insects. </w:t>
      </w:r>
    </w:p>
    <w:p w14:paraId="56FFD732" w14:textId="77777777" w:rsidR="00AC36DE" w:rsidRPr="009F332F" w:rsidRDefault="00AC36DE" w:rsidP="00AC36DE">
      <w:pPr>
        <w:pStyle w:val="NoSpacing"/>
        <w:rPr>
          <w:rFonts w:ascii="Arial" w:hAnsi="Arial" w:cs="Arial"/>
          <w:sz w:val="24"/>
          <w:szCs w:val="24"/>
        </w:rPr>
      </w:pPr>
    </w:p>
    <w:p w14:paraId="2FEF8357" w14:textId="77777777" w:rsidR="00AC36DE" w:rsidRPr="009F332F" w:rsidRDefault="00AC36DE" w:rsidP="00AC36DE">
      <w:pPr>
        <w:pStyle w:val="NoSpacing"/>
        <w:rPr>
          <w:rFonts w:ascii="Arial" w:hAnsi="Arial" w:cs="Arial"/>
          <w:sz w:val="24"/>
          <w:szCs w:val="24"/>
        </w:rPr>
      </w:pPr>
      <w:r w:rsidRPr="009F332F">
        <w:rPr>
          <w:rFonts w:ascii="Arial" w:hAnsi="Arial" w:cs="Arial"/>
          <w:sz w:val="24"/>
          <w:szCs w:val="24"/>
        </w:rPr>
        <w:t>In Iowa</w:t>
      </w:r>
      <w:r>
        <w:rPr>
          <w:rFonts w:ascii="Arial" w:hAnsi="Arial" w:cs="Arial"/>
          <w:sz w:val="24"/>
          <w:szCs w:val="24"/>
        </w:rPr>
        <w:t>,</w:t>
      </w:r>
      <w:r w:rsidRPr="009F332F">
        <w:rPr>
          <w:rFonts w:ascii="Arial" w:hAnsi="Arial" w:cs="Arial"/>
          <w:sz w:val="24"/>
          <w:szCs w:val="24"/>
        </w:rPr>
        <w:t xml:space="preserve"> there is monument recognizing the birth place of Captain James T. Kirk of Star Trek. It states that this is the location of the future birthplace of James T. Kirk, March 22, 2228.</w:t>
      </w:r>
    </w:p>
    <w:p w14:paraId="128E62D8" w14:textId="77777777" w:rsidR="00AC36DE" w:rsidRDefault="00AC36DE" w:rsidP="00AC36DE">
      <w:pPr>
        <w:pStyle w:val="NoSpacing"/>
        <w:rPr>
          <w:rFonts w:ascii="Arial" w:hAnsi="Arial" w:cs="Arial"/>
          <w:sz w:val="16"/>
          <w:szCs w:val="16"/>
        </w:rPr>
      </w:pPr>
    </w:p>
    <w:p w14:paraId="7B72C1D2" w14:textId="77777777" w:rsidR="00AC36DE" w:rsidRPr="009F332F" w:rsidRDefault="00AC36DE" w:rsidP="00AC36DE">
      <w:pPr>
        <w:pStyle w:val="NoSpacing"/>
        <w:rPr>
          <w:rFonts w:ascii="Arial" w:hAnsi="Arial" w:cs="Arial"/>
          <w:sz w:val="16"/>
          <w:szCs w:val="16"/>
        </w:rPr>
      </w:pPr>
    </w:p>
    <w:p w14:paraId="7C828ED2" w14:textId="77777777" w:rsidR="00AC36DE" w:rsidRPr="009F332F" w:rsidRDefault="00AC36DE" w:rsidP="00AC36DE">
      <w:pPr>
        <w:pStyle w:val="NoSpacing"/>
        <w:rPr>
          <w:rFonts w:ascii="Arial" w:hAnsi="Arial" w:cs="Arial"/>
          <w:sz w:val="24"/>
          <w:szCs w:val="24"/>
        </w:rPr>
      </w:pPr>
      <w:proofErr w:type="gramStart"/>
      <w:r w:rsidRPr="009F332F">
        <w:rPr>
          <w:rFonts w:ascii="Arial" w:hAnsi="Arial" w:cs="Arial"/>
          <w:sz w:val="24"/>
          <w:szCs w:val="24"/>
        </w:rPr>
        <w:t>All of</w:t>
      </w:r>
      <w:proofErr w:type="gramEnd"/>
      <w:r w:rsidRPr="009F332F">
        <w:rPr>
          <w:rFonts w:ascii="Arial" w:hAnsi="Arial" w:cs="Arial"/>
          <w:sz w:val="24"/>
          <w:szCs w:val="24"/>
        </w:rPr>
        <w:t xml:space="preserve"> these monuments are to help people remember something. </w:t>
      </w:r>
    </w:p>
    <w:p w14:paraId="37AE001B" w14:textId="77777777" w:rsidR="00AC36DE" w:rsidRDefault="00AC36DE" w:rsidP="00AC36DE">
      <w:pPr>
        <w:pStyle w:val="NoSpacing"/>
        <w:rPr>
          <w:rFonts w:ascii="Arial" w:hAnsi="Arial" w:cs="Arial"/>
          <w:sz w:val="24"/>
          <w:szCs w:val="24"/>
        </w:rPr>
      </w:pPr>
      <w:r w:rsidRPr="009F332F">
        <w:rPr>
          <w:rFonts w:ascii="Arial" w:hAnsi="Arial" w:cs="Arial"/>
          <w:sz w:val="24"/>
          <w:szCs w:val="24"/>
        </w:rPr>
        <w:lastRenderedPageBreak/>
        <w:t>The activity of participating in the Lord’s Supper, as we are instructed to do in Luke 22:15-20, is to help us remember something. That something is what Jesus did for us when he sacrificed his life so that we would be able to go to heaven.</w:t>
      </w:r>
    </w:p>
    <w:p w14:paraId="2946E25A" w14:textId="77777777" w:rsidR="00AC36DE" w:rsidRPr="009F332F" w:rsidRDefault="00AC36DE" w:rsidP="00AC36DE">
      <w:pPr>
        <w:pStyle w:val="NoSpacing"/>
        <w:rPr>
          <w:rFonts w:ascii="Arial" w:hAnsi="Arial" w:cs="Arial"/>
          <w:sz w:val="24"/>
          <w:szCs w:val="24"/>
        </w:rPr>
      </w:pPr>
    </w:p>
    <w:p w14:paraId="1F6668AB" w14:textId="77777777" w:rsidR="00AC36DE" w:rsidRPr="009F332F" w:rsidRDefault="00AC36DE" w:rsidP="00AC36DE">
      <w:pPr>
        <w:pStyle w:val="NoSpacing"/>
        <w:rPr>
          <w:rFonts w:ascii="Arial" w:hAnsi="Arial" w:cs="Arial"/>
          <w:sz w:val="24"/>
          <w:szCs w:val="24"/>
        </w:rPr>
      </w:pPr>
      <w:r w:rsidRPr="009F332F">
        <w:rPr>
          <w:rFonts w:ascii="Arial" w:hAnsi="Arial" w:cs="Arial"/>
          <w:sz w:val="24"/>
          <w:szCs w:val="24"/>
        </w:rPr>
        <w:t>In The First Lord’s Supper</w:t>
      </w:r>
      <w:r>
        <w:rPr>
          <w:rFonts w:ascii="Arial" w:hAnsi="Arial" w:cs="Arial"/>
          <w:sz w:val="24"/>
          <w:szCs w:val="24"/>
        </w:rPr>
        <w:t>,</w:t>
      </w:r>
      <w:r w:rsidRPr="009F332F">
        <w:rPr>
          <w:rFonts w:ascii="Arial" w:hAnsi="Arial" w:cs="Arial"/>
          <w:sz w:val="24"/>
          <w:szCs w:val="24"/>
        </w:rPr>
        <w:t xml:space="preserve"> Jesus said He gave his disciples the bread and the wine so that as often as they </w:t>
      </w:r>
      <w:r>
        <w:rPr>
          <w:rFonts w:ascii="Arial" w:hAnsi="Arial" w:cs="Arial"/>
          <w:sz w:val="24"/>
          <w:szCs w:val="24"/>
        </w:rPr>
        <w:t>ate</w:t>
      </w:r>
      <w:r w:rsidRPr="009F332F">
        <w:rPr>
          <w:rFonts w:ascii="Arial" w:hAnsi="Arial" w:cs="Arial"/>
          <w:sz w:val="24"/>
          <w:szCs w:val="24"/>
        </w:rPr>
        <w:t xml:space="preserve"> the bread and dr</w:t>
      </w:r>
      <w:r>
        <w:rPr>
          <w:rFonts w:ascii="Arial" w:hAnsi="Arial" w:cs="Arial"/>
          <w:sz w:val="24"/>
          <w:szCs w:val="24"/>
        </w:rPr>
        <w:t>a</w:t>
      </w:r>
      <w:r w:rsidRPr="009F332F">
        <w:rPr>
          <w:rFonts w:ascii="Arial" w:hAnsi="Arial" w:cs="Arial"/>
          <w:sz w:val="24"/>
          <w:szCs w:val="24"/>
        </w:rPr>
        <w:t xml:space="preserve">nk the wine, in this special ceremony, they would remember what Jesus </w:t>
      </w:r>
      <w:r>
        <w:rPr>
          <w:rFonts w:ascii="Arial" w:hAnsi="Arial" w:cs="Arial"/>
          <w:sz w:val="24"/>
          <w:szCs w:val="24"/>
        </w:rPr>
        <w:t>had done</w:t>
      </w:r>
      <w:r w:rsidRPr="009F332F">
        <w:rPr>
          <w:rFonts w:ascii="Arial" w:hAnsi="Arial" w:cs="Arial"/>
          <w:sz w:val="24"/>
          <w:szCs w:val="24"/>
        </w:rPr>
        <w:t xml:space="preserve"> for them.                                                                               </w:t>
      </w:r>
    </w:p>
    <w:p w14:paraId="2A753053" w14:textId="77777777" w:rsidR="00E96E5C" w:rsidRDefault="00E96E5C"/>
    <w:sectPr w:rsidR="00E96E5C" w:rsidSect="00AC36DE">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6DE"/>
    <w:rsid w:val="00AC36DE"/>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1F38"/>
  <w15:chartTrackingRefBased/>
  <w15:docId w15:val="{F50B2CFC-CA97-4545-9BB1-AC9D67F5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36DE"/>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C36DE"/>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AC36DE"/>
    <w:rPr>
      <w:rFonts w:ascii="Calibri" w:hAnsi="Calibri" w:cs="Times New Roman"/>
      <w:snapToGrid/>
      <w:sz w:val="28"/>
      <w:szCs w:val="32"/>
    </w:rPr>
  </w:style>
  <w:style w:type="paragraph" w:customStyle="1" w:styleId="Default">
    <w:name w:val="Default"/>
    <w:uiPriority w:val="99"/>
    <w:rsid w:val="00AC36DE"/>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C9D25-63BA-4E8D-87B1-A028BEF7D1B0}"/>
</file>

<file path=customXml/itemProps2.xml><?xml version="1.0" encoding="utf-8"?>
<ds:datastoreItem xmlns:ds="http://schemas.openxmlformats.org/officeDocument/2006/customXml" ds:itemID="{21C44ECA-8AAF-4CE3-A635-9D57B146954C}">
  <ds:schemaRefs>
    <ds:schemaRef ds:uri="http://schemas.microsoft.com/sharepoint/v3/contenttype/forms"/>
  </ds:schemaRefs>
</ds:datastoreItem>
</file>

<file path=customXml/itemProps3.xml><?xml version="1.0" encoding="utf-8"?>
<ds:datastoreItem xmlns:ds="http://schemas.openxmlformats.org/officeDocument/2006/customXml" ds:itemID="{CCC2734E-0299-4A5F-986E-404064394EA6}">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2019-02-20T20:42:00Z</dcterms:created>
  <dcterms:modified xsi:type="dcterms:W3CDTF">2019-02-20T20:43:00Z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